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99" w:rsidRDefault="00ED13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ОТЧЕТ</w:t>
      </w:r>
    </w:p>
    <w:p w:rsidR="00720399" w:rsidRDefault="00ED13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итогах реализации Ведомственного плана</w:t>
      </w:r>
    </w:p>
    <w:p w:rsidR="00720399" w:rsidRDefault="00ED13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Управления Федеральной налоговой службы по Тамбовской области</w:t>
      </w:r>
    </w:p>
    <w:p w:rsidR="00720399" w:rsidRDefault="00ED13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реализации Концепции открытости федеральных органов </w:t>
      </w:r>
    </w:p>
    <w:p w:rsidR="00720399" w:rsidRDefault="00ED13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исполнительной власти в 202</w:t>
      </w:r>
      <w:r w:rsidR="00141B3D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году</w:t>
      </w:r>
    </w:p>
    <w:p w:rsidR="00720399" w:rsidRDefault="007203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720399" w:rsidRDefault="00ED13A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1. Ключевые результаты реализации ведомственного плана.</w:t>
      </w:r>
    </w:p>
    <w:p w:rsidR="00720399" w:rsidRPr="006B57F6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proofErr w:type="gramStart"/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</w:t>
      </w:r>
      <w:r w:rsidRPr="006B57F6">
        <w:rPr>
          <w:rFonts w:ascii="Times New Roman" w:hAnsi="Times New Roman"/>
          <w:snapToGrid w:val="0"/>
          <w:color w:val="auto"/>
          <w:sz w:val="28"/>
          <w:szCs w:val="28"/>
        </w:rPr>
        <w:t xml:space="preserve">приказом </w:t>
      </w:r>
      <w:r w:rsidR="003D68D2" w:rsidRPr="006B57F6">
        <w:rPr>
          <w:rFonts w:ascii="Times New Roman" w:hAnsi="Times New Roman"/>
          <w:snapToGrid w:val="0"/>
          <w:color w:val="auto"/>
          <w:sz w:val="28"/>
          <w:szCs w:val="28"/>
        </w:rPr>
        <w:t>У</w:t>
      </w:r>
      <w:r w:rsidRPr="006B57F6">
        <w:rPr>
          <w:rFonts w:ascii="Times New Roman" w:hAnsi="Times New Roman"/>
          <w:snapToGrid w:val="0"/>
          <w:color w:val="auto"/>
          <w:sz w:val="28"/>
          <w:szCs w:val="28"/>
        </w:rPr>
        <w:t xml:space="preserve">ФНС России от </w:t>
      </w:r>
      <w:r w:rsidR="00781BC4" w:rsidRPr="006B57F6">
        <w:rPr>
          <w:rFonts w:ascii="Times New Roman" w:hAnsi="Times New Roman"/>
          <w:snapToGrid w:val="0"/>
          <w:color w:val="auto"/>
          <w:sz w:val="28"/>
          <w:szCs w:val="28"/>
        </w:rPr>
        <w:t>0</w:t>
      </w:r>
      <w:r w:rsidR="006B57F6" w:rsidRPr="006B57F6">
        <w:rPr>
          <w:rFonts w:ascii="Times New Roman" w:hAnsi="Times New Roman"/>
          <w:snapToGrid w:val="0"/>
          <w:color w:val="auto"/>
          <w:sz w:val="28"/>
          <w:szCs w:val="28"/>
        </w:rPr>
        <w:t>4</w:t>
      </w:r>
      <w:r w:rsidRPr="006B57F6">
        <w:rPr>
          <w:rFonts w:ascii="Times New Roman" w:hAnsi="Times New Roman"/>
          <w:snapToGrid w:val="0"/>
          <w:color w:val="auto"/>
          <w:sz w:val="28"/>
          <w:szCs w:val="28"/>
        </w:rPr>
        <w:t>.0</w:t>
      </w:r>
      <w:r w:rsidR="00FA4711" w:rsidRPr="006B57F6">
        <w:rPr>
          <w:rFonts w:ascii="Times New Roman" w:hAnsi="Times New Roman"/>
          <w:snapToGrid w:val="0"/>
          <w:color w:val="auto"/>
          <w:sz w:val="28"/>
          <w:szCs w:val="28"/>
        </w:rPr>
        <w:t>4</w:t>
      </w:r>
      <w:r w:rsidRPr="006B57F6">
        <w:rPr>
          <w:rFonts w:ascii="Times New Roman" w:hAnsi="Times New Roman"/>
          <w:snapToGrid w:val="0"/>
          <w:color w:val="auto"/>
          <w:sz w:val="28"/>
          <w:szCs w:val="28"/>
        </w:rPr>
        <w:t>.202</w:t>
      </w:r>
      <w:r w:rsidR="006B57F6" w:rsidRPr="006B57F6">
        <w:rPr>
          <w:rFonts w:ascii="Times New Roman" w:hAnsi="Times New Roman"/>
          <w:snapToGrid w:val="0"/>
          <w:color w:val="auto"/>
          <w:sz w:val="28"/>
          <w:szCs w:val="28"/>
        </w:rPr>
        <w:t>5</w:t>
      </w:r>
      <w:r w:rsidRPr="006B57F6">
        <w:rPr>
          <w:rFonts w:ascii="Times New Roman" w:hAnsi="Times New Roman"/>
          <w:snapToGrid w:val="0"/>
          <w:color w:val="auto"/>
          <w:sz w:val="28"/>
          <w:szCs w:val="28"/>
        </w:rPr>
        <w:t xml:space="preserve"> № </w:t>
      </w:r>
      <w:r w:rsidR="006B57F6" w:rsidRPr="006B57F6">
        <w:rPr>
          <w:rFonts w:ascii="Times New Roman" w:hAnsi="Times New Roman"/>
          <w:snapToGrid w:val="0"/>
          <w:color w:val="auto"/>
          <w:sz w:val="28"/>
          <w:szCs w:val="28"/>
        </w:rPr>
        <w:t xml:space="preserve">68-00-01-07/040@ </w:t>
      </w:r>
      <w:r w:rsidRPr="006B57F6">
        <w:rPr>
          <w:rFonts w:ascii="Times New Roman" w:hAnsi="Times New Roman"/>
          <w:snapToGrid w:val="0"/>
          <w:color w:val="auto"/>
          <w:sz w:val="28"/>
          <w:szCs w:val="28"/>
        </w:rPr>
        <w:t xml:space="preserve">утвержден Ведомственный </w:t>
      </w:r>
      <w:r w:rsidR="003D68D2" w:rsidRPr="006B57F6">
        <w:rPr>
          <w:rFonts w:ascii="Times New Roman" w:hAnsi="Times New Roman"/>
          <w:snapToGrid w:val="0"/>
          <w:color w:val="auto"/>
          <w:sz w:val="28"/>
          <w:szCs w:val="28"/>
        </w:rPr>
        <w:t xml:space="preserve">региональный </w:t>
      </w:r>
      <w:r w:rsidRPr="006B57F6">
        <w:rPr>
          <w:rFonts w:ascii="Times New Roman" w:hAnsi="Times New Roman"/>
          <w:snapToGrid w:val="0"/>
          <w:color w:val="auto"/>
          <w:sz w:val="28"/>
          <w:szCs w:val="28"/>
        </w:rPr>
        <w:t>план УФНС России по Тамбовской  области по реализации Концепции открытости федеральных органов исполнительной власти на 202</w:t>
      </w:r>
      <w:r w:rsidR="00781BC4" w:rsidRPr="006B57F6">
        <w:rPr>
          <w:rFonts w:ascii="Times New Roman" w:hAnsi="Times New Roman"/>
          <w:snapToGrid w:val="0"/>
          <w:color w:val="auto"/>
          <w:sz w:val="28"/>
          <w:szCs w:val="28"/>
        </w:rPr>
        <w:t>4</w:t>
      </w:r>
      <w:r w:rsidRPr="006B57F6">
        <w:rPr>
          <w:rFonts w:ascii="Times New Roman" w:hAnsi="Times New Roman"/>
          <w:snapToGrid w:val="0"/>
          <w:color w:val="auto"/>
          <w:sz w:val="28"/>
          <w:szCs w:val="28"/>
        </w:rPr>
        <w:t xml:space="preserve"> год (далее – Ведомственный план).</w:t>
      </w:r>
      <w:r w:rsidR="006B57F6" w:rsidRPr="006B57F6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proofErr w:type="gramEnd"/>
    </w:p>
    <w:p w:rsidR="00720399" w:rsidRPr="00ED13AA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Реализация мероприятий Ведомственного плана позволила повысить уровень прозрачности и сделала показатели деятельности УФНС России по Тамбовской области</w:t>
      </w:r>
      <w:r w:rsidR="00CC331A">
        <w:rPr>
          <w:rFonts w:ascii="Times New Roman" w:hAnsi="Times New Roman"/>
          <w:snapToGrid w:val="0"/>
          <w:color w:val="auto"/>
          <w:sz w:val="28"/>
          <w:szCs w:val="28"/>
        </w:rPr>
        <w:t xml:space="preserve"> (далее - Управление) 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понятными для представителей </w:t>
      </w:r>
      <w:proofErr w:type="spellStart"/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референтных</w:t>
      </w:r>
      <w:proofErr w:type="spellEnd"/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групп.</w:t>
      </w:r>
    </w:p>
    <w:p w:rsidR="00720399" w:rsidRPr="00ED13AA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Повышение информационной открытости деятельности УФНС России по Тамбовской области направлено на укрепление положительного имиджа</w:t>
      </w:r>
      <w:r w:rsidR="00781BC4">
        <w:rPr>
          <w:rFonts w:ascii="Times New Roman" w:hAnsi="Times New Roman"/>
          <w:snapToGrid w:val="0"/>
          <w:color w:val="auto"/>
          <w:sz w:val="28"/>
          <w:szCs w:val="28"/>
        </w:rPr>
        <w:t xml:space="preserve"> ФНС России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, повышение удовлетворенности пользователей качеством предоставляемой информации, направленной на побуждение налогоплательщиков к исполнению налоговых обязательств и к своевременной уплате   налогов и сборов в бюджетную систему Российской Федерации. </w:t>
      </w:r>
    </w:p>
    <w:p w:rsidR="00720399" w:rsidRPr="00ED13AA" w:rsidRDefault="003D68D2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>
        <w:rPr>
          <w:rFonts w:ascii="Times New Roman" w:hAnsi="Times New Roman"/>
          <w:snapToGrid w:val="0"/>
          <w:color w:val="auto"/>
          <w:sz w:val="28"/>
          <w:szCs w:val="28"/>
        </w:rPr>
        <w:t>В региональном разделе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официального сайта ФНС России в информационно-телекоммуникационной сети "Интернет" (далее - сайт ФНС России) за 202</w:t>
      </w:r>
      <w:r w:rsidR="00141B3D">
        <w:rPr>
          <w:rFonts w:ascii="Times New Roman" w:hAnsi="Times New Roman"/>
          <w:snapToGrid w:val="0"/>
          <w:color w:val="auto"/>
          <w:sz w:val="28"/>
          <w:szCs w:val="28"/>
        </w:rPr>
        <w:t>5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год с помощью электронного сервиса ФНС России «Анкетирование» </w:t>
      </w:r>
      <w:r w:rsidR="00141B3D">
        <w:rPr>
          <w:rFonts w:ascii="Times New Roman" w:hAnsi="Times New Roman"/>
          <w:snapToGrid w:val="0"/>
          <w:color w:val="auto"/>
          <w:sz w:val="28"/>
          <w:szCs w:val="28"/>
        </w:rPr>
        <w:t>792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 xml:space="preserve"> пользовател</w:t>
      </w:r>
      <w:r w:rsidR="00C874FD">
        <w:rPr>
          <w:rFonts w:ascii="Times New Roman" w:hAnsi="Times New Roman"/>
          <w:snapToGrid w:val="0"/>
          <w:color w:val="auto"/>
          <w:sz w:val="28"/>
          <w:szCs w:val="28"/>
        </w:rPr>
        <w:t>я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(9</w:t>
      </w:r>
      <w:r w:rsidR="00C874FD">
        <w:rPr>
          <w:rFonts w:ascii="Times New Roman" w:hAnsi="Times New Roman"/>
          <w:snapToGrid w:val="0"/>
          <w:color w:val="auto"/>
          <w:sz w:val="28"/>
          <w:szCs w:val="28"/>
        </w:rPr>
        <w:t>8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>,</w:t>
      </w:r>
      <w:r w:rsidR="00141B3D">
        <w:rPr>
          <w:rFonts w:ascii="Times New Roman" w:hAnsi="Times New Roman"/>
          <w:snapToGrid w:val="0"/>
          <w:color w:val="auto"/>
          <w:sz w:val="28"/>
          <w:szCs w:val="28"/>
        </w:rPr>
        <w:t>99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r w:rsidR="00DD6F6F">
        <w:rPr>
          <w:rFonts w:ascii="Times New Roman" w:hAnsi="Times New Roman"/>
          <w:snapToGrid w:val="0"/>
          <w:color w:val="auto"/>
          <w:sz w:val="28"/>
          <w:szCs w:val="28"/>
        </w:rPr>
        <w:t>%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от общего числа респондентов, участвующих в анкетировании) оставили положительные отзывы о качестве государственных услуг, предоставленных сотрудниками </w:t>
      </w:r>
      <w:r w:rsidR="00CC331A">
        <w:rPr>
          <w:rFonts w:ascii="Times New Roman" w:hAnsi="Times New Roman"/>
          <w:snapToGrid w:val="0"/>
          <w:color w:val="auto"/>
          <w:sz w:val="28"/>
          <w:szCs w:val="28"/>
        </w:rPr>
        <w:t>Управления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>.</w:t>
      </w:r>
    </w:p>
    <w:p w:rsidR="00720399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В Тамбовской области в 202</w:t>
      </w:r>
      <w:r w:rsidR="00141B3D">
        <w:rPr>
          <w:rFonts w:ascii="Times New Roman" w:hAnsi="Times New Roman"/>
          <w:snapToGrid w:val="0"/>
          <w:color w:val="auto"/>
          <w:sz w:val="28"/>
          <w:szCs w:val="28"/>
        </w:rPr>
        <w:t>5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году доля граждан, удовлетворенных качеством предоставленных им государственных услуг ФНС России на сайте «Ваш контроль», составила </w:t>
      </w:r>
      <w:r w:rsidR="00C874FD">
        <w:rPr>
          <w:rFonts w:ascii="Times New Roman" w:hAnsi="Times New Roman"/>
          <w:snapToGrid w:val="0"/>
          <w:color w:val="auto"/>
          <w:sz w:val="28"/>
          <w:szCs w:val="28"/>
        </w:rPr>
        <w:t>100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r w:rsidR="00DD6F6F">
        <w:rPr>
          <w:rFonts w:ascii="Times New Roman" w:hAnsi="Times New Roman"/>
          <w:snapToGrid w:val="0"/>
          <w:color w:val="auto"/>
          <w:sz w:val="28"/>
          <w:szCs w:val="28"/>
        </w:rPr>
        <w:t>%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.</w:t>
      </w:r>
    </w:p>
    <w:p w:rsidR="00720399" w:rsidRPr="00ED13AA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В региональном блоке сайта ФНС России размещена и поддерживается в актуальном состоянии информация о деятельности </w:t>
      </w:r>
      <w:r w:rsidR="00CC331A">
        <w:rPr>
          <w:rFonts w:ascii="Times New Roman" w:hAnsi="Times New Roman"/>
          <w:snapToGrid w:val="0"/>
          <w:color w:val="auto"/>
          <w:sz w:val="28"/>
          <w:szCs w:val="28"/>
        </w:rPr>
        <w:t>Управления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.  </w:t>
      </w:r>
      <w:proofErr w:type="gramStart"/>
      <w:r w:rsidR="00E50430">
        <w:rPr>
          <w:rFonts w:ascii="Times New Roman" w:hAnsi="Times New Roman"/>
          <w:snapToGrid w:val="0"/>
          <w:color w:val="auto"/>
          <w:sz w:val="28"/>
          <w:szCs w:val="28"/>
        </w:rPr>
        <w:t>Благодаря плановому подходу к публикации новостей в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отчетном периоде на сайте ФНС России </w:t>
      </w:r>
      <w:r w:rsidR="00CC2B36">
        <w:rPr>
          <w:rFonts w:ascii="Times New Roman" w:hAnsi="Times New Roman"/>
          <w:snapToGrid w:val="0"/>
          <w:color w:val="auto"/>
          <w:sz w:val="28"/>
          <w:szCs w:val="28"/>
        </w:rPr>
        <w:t xml:space="preserve">для налогоплательщиков </w:t>
      </w:r>
      <w:r w:rsidRPr="00D14534">
        <w:rPr>
          <w:rFonts w:ascii="Times New Roman" w:hAnsi="Times New Roman"/>
          <w:snapToGrid w:val="0"/>
          <w:color w:val="auto"/>
          <w:sz w:val="28"/>
          <w:szCs w:val="28"/>
        </w:rPr>
        <w:t>размещен</w:t>
      </w:r>
      <w:r w:rsidR="000B428E" w:rsidRPr="00D14534">
        <w:rPr>
          <w:rFonts w:ascii="Times New Roman" w:hAnsi="Times New Roman"/>
          <w:snapToGrid w:val="0"/>
          <w:color w:val="auto"/>
          <w:sz w:val="28"/>
          <w:szCs w:val="28"/>
        </w:rPr>
        <w:t>ы</w:t>
      </w:r>
      <w:r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r w:rsidR="00D14534" w:rsidRPr="00D14534">
        <w:rPr>
          <w:rFonts w:ascii="Times New Roman" w:hAnsi="Times New Roman"/>
          <w:snapToGrid w:val="0"/>
          <w:color w:val="auto"/>
          <w:sz w:val="28"/>
          <w:szCs w:val="28"/>
        </w:rPr>
        <w:t>363</w:t>
      </w:r>
      <w:r w:rsidR="00FA4711"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м</w:t>
      </w:r>
      <w:r w:rsidR="00D14534" w:rsidRPr="00D14534">
        <w:rPr>
          <w:rFonts w:ascii="Times New Roman" w:hAnsi="Times New Roman"/>
          <w:snapToGrid w:val="0"/>
          <w:color w:val="auto"/>
          <w:sz w:val="28"/>
          <w:szCs w:val="28"/>
        </w:rPr>
        <w:t>атериала</w:t>
      </w:r>
      <w:r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,  </w:t>
      </w:r>
      <w:r w:rsidR="002779F7" w:rsidRPr="00D14534">
        <w:rPr>
          <w:rFonts w:ascii="Times New Roman" w:hAnsi="Times New Roman"/>
          <w:snapToGrid w:val="0"/>
          <w:color w:val="auto"/>
          <w:sz w:val="28"/>
          <w:szCs w:val="28"/>
        </w:rPr>
        <w:t>1</w:t>
      </w:r>
      <w:r w:rsidR="00D14534" w:rsidRPr="00D14534">
        <w:rPr>
          <w:rFonts w:ascii="Times New Roman" w:hAnsi="Times New Roman"/>
          <w:snapToGrid w:val="0"/>
          <w:color w:val="auto"/>
          <w:sz w:val="28"/>
          <w:szCs w:val="28"/>
        </w:rPr>
        <w:t>327</w:t>
      </w:r>
      <w:r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 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информационных материал</w:t>
      </w:r>
      <w:r w:rsidR="0099338C">
        <w:rPr>
          <w:rFonts w:ascii="Times New Roman" w:hAnsi="Times New Roman"/>
          <w:snapToGrid w:val="0"/>
          <w:color w:val="auto"/>
          <w:sz w:val="28"/>
          <w:szCs w:val="28"/>
        </w:rPr>
        <w:t>а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r w:rsidR="00FA4711"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- 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в региональных средствах массовой информации</w:t>
      </w:r>
      <w:r w:rsidR="00E50430">
        <w:rPr>
          <w:rFonts w:ascii="Times New Roman" w:hAnsi="Times New Roman"/>
          <w:snapToGrid w:val="0"/>
          <w:color w:val="auto"/>
          <w:sz w:val="28"/>
          <w:szCs w:val="28"/>
        </w:rPr>
        <w:t xml:space="preserve"> (включая информацию об изменениях регионального законодательства в сфере </w:t>
      </w:r>
      <w:r w:rsidR="00E50430">
        <w:rPr>
          <w:rFonts w:ascii="Times New Roman" w:hAnsi="Times New Roman"/>
          <w:snapToGrid w:val="0"/>
          <w:color w:val="auto"/>
          <w:sz w:val="28"/>
          <w:szCs w:val="28"/>
        </w:rPr>
        <w:lastRenderedPageBreak/>
        <w:t>налогообложения и анонсы о проводимых Управлением информационно-просветительских мероприя</w:t>
      </w:r>
      <w:r w:rsidR="00CC2B36">
        <w:rPr>
          <w:rFonts w:ascii="Times New Roman" w:hAnsi="Times New Roman"/>
          <w:snapToGrid w:val="0"/>
          <w:color w:val="auto"/>
          <w:sz w:val="28"/>
          <w:szCs w:val="28"/>
        </w:rPr>
        <w:t>т</w:t>
      </w:r>
      <w:r w:rsidR="00E50430">
        <w:rPr>
          <w:rFonts w:ascii="Times New Roman" w:hAnsi="Times New Roman"/>
          <w:snapToGrid w:val="0"/>
          <w:color w:val="auto"/>
          <w:sz w:val="28"/>
          <w:szCs w:val="28"/>
        </w:rPr>
        <w:t>и</w:t>
      </w:r>
      <w:r w:rsidR="00330C3A">
        <w:rPr>
          <w:rFonts w:ascii="Times New Roman" w:hAnsi="Times New Roman"/>
          <w:snapToGrid w:val="0"/>
          <w:color w:val="auto"/>
          <w:sz w:val="28"/>
          <w:szCs w:val="28"/>
        </w:rPr>
        <w:t>ях</w:t>
      </w:r>
      <w:r w:rsidR="00E50430">
        <w:rPr>
          <w:rFonts w:ascii="Times New Roman" w:hAnsi="Times New Roman"/>
          <w:snapToGrid w:val="0"/>
          <w:color w:val="auto"/>
          <w:sz w:val="28"/>
          <w:szCs w:val="28"/>
        </w:rPr>
        <w:t>)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.</w:t>
      </w:r>
      <w:proofErr w:type="gramEnd"/>
    </w:p>
    <w:p w:rsidR="00805651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В целях массового информирования налогоплательщиков в отчетном периоде проведены публичные информационные кампании по актуальным вопросам налогового администрирования</w:t>
      </w:r>
      <w:r w:rsidR="00500EDA" w:rsidRPr="00500EDA">
        <w:rPr>
          <w:rFonts w:ascii="Times New Roman" w:hAnsi="Times New Roman"/>
          <w:snapToGrid w:val="0"/>
          <w:color w:val="auto"/>
          <w:sz w:val="28"/>
          <w:szCs w:val="28"/>
        </w:rPr>
        <w:t xml:space="preserve">, </w:t>
      </w:r>
      <w:r w:rsidR="00500EDA">
        <w:rPr>
          <w:rFonts w:ascii="Times New Roman" w:hAnsi="Times New Roman"/>
          <w:snapToGrid w:val="0"/>
          <w:color w:val="auto"/>
          <w:sz w:val="28"/>
          <w:szCs w:val="28"/>
        </w:rPr>
        <w:t>в том числе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: </w:t>
      </w:r>
    </w:p>
    <w:p w:rsidR="00805651" w:rsidRPr="0099338C" w:rsidRDefault="00805651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 xml:space="preserve">-  по </w:t>
      </w:r>
      <w:r w:rsidR="00ED13AA" w:rsidRPr="0099338C">
        <w:rPr>
          <w:rFonts w:ascii="Times New Roman" w:hAnsi="Times New Roman"/>
          <w:snapToGrid w:val="0"/>
          <w:color w:val="auto"/>
          <w:sz w:val="28"/>
          <w:szCs w:val="28"/>
        </w:rPr>
        <w:t>декларировани</w:t>
      </w: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>ю</w:t>
      </w:r>
      <w:r w:rsidR="00ED13AA" w:rsidRPr="0099338C">
        <w:rPr>
          <w:rFonts w:ascii="Times New Roman" w:hAnsi="Times New Roman"/>
          <w:snapToGrid w:val="0"/>
          <w:color w:val="auto"/>
          <w:sz w:val="28"/>
          <w:szCs w:val="28"/>
        </w:rPr>
        <w:t xml:space="preserve">  доходов</w:t>
      </w: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 xml:space="preserve">, полученных </w:t>
      </w:r>
      <w:r w:rsidR="00ED13AA" w:rsidRPr="0099338C">
        <w:rPr>
          <w:rFonts w:ascii="Times New Roman" w:hAnsi="Times New Roman"/>
          <w:snapToGrid w:val="0"/>
          <w:color w:val="auto"/>
          <w:sz w:val="28"/>
          <w:szCs w:val="28"/>
        </w:rPr>
        <w:t xml:space="preserve"> физическими лицами</w:t>
      </w: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 xml:space="preserve"> в 202</w:t>
      </w:r>
      <w:r w:rsidR="00C874FD" w:rsidRPr="0099338C">
        <w:rPr>
          <w:rFonts w:ascii="Times New Roman" w:hAnsi="Times New Roman"/>
          <w:snapToGrid w:val="0"/>
          <w:color w:val="auto"/>
          <w:sz w:val="28"/>
          <w:szCs w:val="28"/>
        </w:rPr>
        <w:t>4</w:t>
      </w: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 xml:space="preserve"> году;</w:t>
      </w:r>
    </w:p>
    <w:p w:rsidR="00805651" w:rsidRPr="0099338C" w:rsidRDefault="00805651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>-</w:t>
      </w:r>
      <w:r w:rsidR="00ED13AA" w:rsidRPr="0099338C">
        <w:rPr>
          <w:rFonts w:ascii="Times New Roman" w:hAnsi="Times New Roman"/>
          <w:snapToGrid w:val="0"/>
          <w:color w:val="auto"/>
          <w:sz w:val="28"/>
          <w:szCs w:val="28"/>
        </w:rPr>
        <w:t xml:space="preserve"> о порядке представления налоговых льгот по имущественным налогам физических лиц</w:t>
      </w: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>;</w:t>
      </w:r>
    </w:p>
    <w:p w:rsidR="00805651" w:rsidRPr="0099338C" w:rsidRDefault="00805651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>- по тематике исполнения налоговых уведомлений, направляемых в 202</w:t>
      </w:r>
      <w:r w:rsidR="0099338C" w:rsidRPr="0099338C">
        <w:rPr>
          <w:rFonts w:ascii="Times New Roman" w:hAnsi="Times New Roman"/>
          <w:snapToGrid w:val="0"/>
          <w:color w:val="auto"/>
          <w:sz w:val="28"/>
          <w:szCs w:val="28"/>
        </w:rPr>
        <w:t>5</w:t>
      </w: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 xml:space="preserve"> году;</w:t>
      </w:r>
    </w:p>
    <w:p w:rsidR="0099338C" w:rsidRPr="0099338C" w:rsidRDefault="0099338C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>- переход на новый порядок внесения кодов ОКВЭД в реестры ЕГРЮЛ и ИГРИП;</w:t>
      </w:r>
    </w:p>
    <w:p w:rsidR="0099338C" w:rsidRPr="0099338C" w:rsidRDefault="0099338C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99338C">
        <w:rPr>
          <w:rFonts w:ascii="Times New Roman" w:hAnsi="Times New Roman"/>
          <w:snapToGrid w:val="0"/>
          <w:color w:val="auto"/>
          <w:sz w:val="28"/>
          <w:szCs w:val="28"/>
        </w:rPr>
        <w:t xml:space="preserve"> - о введении с 2026 года единого документа учета.</w:t>
      </w:r>
    </w:p>
    <w:p w:rsidR="00720399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Для повышения эффективности организации работы с налогоплательщиками, плательщиками сборов, страховых взносов на обязательное пенсионное страхование и налоговыми агентами </w:t>
      </w:r>
      <w:r w:rsidR="00CC331A">
        <w:rPr>
          <w:rFonts w:ascii="Times New Roman" w:hAnsi="Times New Roman"/>
          <w:snapToGrid w:val="0"/>
          <w:color w:val="auto"/>
          <w:sz w:val="28"/>
          <w:szCs w:val="28"/>
        </w:rPr>
        <w:t xml:space="preserve">специалистами </w:t>
      </w:r>
      <w:r w:rsidR="00B74CA8">
        <w:rPr>
          <w:rFonts w:ascii="Times New Roman" w:hAnsi="Times New Roman"/>
          <w:snapToGrid w:val="0"/>
          <w:color w:val="auto"/>
          <w:sz w:val="28"/>
          <w:szCs w:val="28"/>
        </w:rPr>
        <w:t xml:space="preserve">Управлением 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проведен</w:t>
      </w:r>
      <w:r w:rsidR="00B74CA8">
        <w:rPr>
          <w:rFonts w:ascii="Times New Roman" w:hAnsi="Times New Roman"/>
          <w:snapToGrid w:val="0"/>
          <w:color w:val="auto"/>
          <w:sz w:val="28"/>
          <w:szCs w:val="28"/>
        </w:rPr>
        <w:t>ы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r w:rsidR="00D14534" w:rsidRPr="00D14534">
        <w:rPr>
          <w:rFonts w:ascii="Times New Roman" w:hAnsi="Times New Roman"/>
          <w:snapToGrid w:val="0"/>
          <w:color w:val="auto"/>
          <w:sz w:val="28"/>
          <w:szCs w:val="28"/>
        </w:rPr>
        <w:t>38</w:t>
      </w:r>
      <w:r w:rsidR="00500EDA"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0963F5" w:rsidRPr="00D14534">
        <w:rPr>
          <w:rFonts w:ascii="Times New Roman" w:hAnsi="Times New Roman"/>
          <w:snapToGrid w:val="0"/>
          <w:color w:val="auto"/>
          <w:sz w:val="28"/>
          <w:szCs w:val="28"/>
        </w:rPr>
        <w:t>вебинар</w:t>
      </w:r>
      <w:r w:rsidR="00D14534" w:rsidRPr="00D14534">
        <w:rPr>
          <w:rFonts w:ascii="Times New Roman" w:hAnsi="Times New Roman"/>
          <w:snapToGrid w:val="0"/>
          <w:color w:val="auto"/>
          <w:sz w:val="28"/>
          <w:szCs w:val="28"/>
        </w:rPr>
        <w:t>ов</w:t>
      </w:r>
      <w:proofErr w:type="spellEnd"/>
      <w:r w:rsidR="00ED4646"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и </w:t>
      </w:r>
      <w:r w:rsidR="00D14534" w:rsidRPr="00D14534">
        <w:rPr>
          <w:rFonts w:ascii="Times New Roman" w:hAnsi="Times New Roman"/>
          <w:snapToGrid w:val="0"/>
          <w:color w:val="auto"/>
          <w:sz w:val="28"/>
          <w:szCs w:val="28"/>
        </w:rPr>
        <w:t>278</w:t>
      </w:r>
      <w:r w:rsidR="00ED4646"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r w:rsidR="00ED4646" w:rsidRPr="00ED4646">
        <w:rPr>
          <w:rFonts w:ascii="Times New Roman" w:hAnsi="Times New Roman"/>
          <w:snapToGrid w:val="0"/>
          <w:color w:val="auto"/>
          <w:sz w:val="28"/>
          <w:szCs w:val="28"/>
        </w:rPr>
        <w:t xml:space="preserve">встреч в формате зеленых площадок и мобильных </w:t>
      </w:r>
      <w:r w:rsidR="00330C3A">
        <w:rPr>
          <w:rFonts w:ascii="Times New Roman" w:hAnsi="Times New Roman"/>
          <w:snapToGrid w:val="0"/>
          <w:color w:val="auto"/>
          <w:sz w:val="28"/>
          <w:szCs w:val="28"/>
        </w:rPr>
        <w:t xml:space="preserve">налоговых </w:t>
      </w:r>
      <w:r w:rsidR="00ED4646" w:rsidRPr="00ED4646">
        <w:rPr>
          <w:rFonts w:ascii="Times New Roman" w:hAnsi="Times New Roman"/>
          <w:snapToGrid w:val="0"/>
          <w:color w:val="auto"/>
          <w:sz w:val="28"/>
          <w:szCs w:val="28"/>
        </w:rPr>
        <w:t>офисов, где рассматривались вопросы, связанные с уплатой налогов.</w:t>
      </w:r>
    </w:p>
    <w:p w:rsidR="00D14534" w:rsidRPr="00D14534" w:rsidRDefault="00D14534" w:rsidP="00D14534">
      <w:pPr>
        <w:spacing w:after="0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       Проведение уроков налоговой грамотности направлено на повышение  </w:t>
      </w:r>
      <w:r w:rsidR="001F652F">
        <w:rPr>
          <w:rFonts w:ascii="Times New Roman" w:hAnsi="Times New Roman"/>
          <w:snapToGrid w:val="0"/>
          <w:color w:val="auto"/>
          <w:sz w:val="28"/>
          <w:szCs w:val="28"/>
        </w:rPr>
        <w:t xml:space="preserve">образовательного уровня </w:t>
      </w:r>
      <w:r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знаний</w:t>
      </w:r>
      <w:r w:rsidR="001F652F">
        <w:rPr>
          <w:rFonts w:ascii="Times New Roman" w:hAnsi="Times New Roman"/>
          <w:snapToGrid w:val="0"/>
          <w:color w:val="auto"/>
          <w:sz w:val="28"/>
          <w:szCs w:val="28"/>
        </w:rPr>
        <w:t xml:space="preserve"> детей</w:t>
      </w:r>
      <w:r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по налоговой тематике, а также формирование  позитивного и сознательного отношения  к уплате налогов, которым  они смогут делиться в будущем при  общении с друзьями и сверстниками вне стен школы.</w:t>
      </w:r>
    </w:p>
    <w:p w:rsidR="00D14534" w:rsidRPr="00D14534" w:rsidRDefault="00D14534" w:rsidP="00D14534">
      <w:pPr>
        <w:tabs>
          <w:tab w:val="left" w:pos="3740"/>
          <w:tab w:val="left" w:pos="43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       В отчетном периоде информационно-просветительские мероприятия по налоговой культуре и грамотности  в формате образовательного </w:t>
      </w:r>
      <w:r w:rsidR="008E050B">
        <w:rPr>
          <w:rFonts w:ascii="Times New Roman" w:hAnsi="Times New Roman"/>
          <w:snapToGrid w:val="0"/>
          <w:color w:val="auto"/>
          <w:sz w:val="28"/>
          <w:szCs w:val="28"/>
        </w:rPr>
        <w:t xml:space="preserve"> проекта «</w:t>
      </w:r>
      <w:proofErr w:type="spellStart"/>
      <w:r w:rsidR="008E050B">
        <w:rPr>
          <w:rFonts w:ascii="Times New Roman" w:hAnsi="Times New Roman"/>
          <w:snapToGrid w:val="0"/>
          <w:color w:val="auto"/>
          <w:sz w:val="28"/>
          <w:szCs w:val="28"/>
        </w:rPr>
        <w:t>юНГа</w:t>
      </w:r>
      <w:proofErr w:type="spellEnd"/>
      <w:r w:rsidR="008E050B">
        <w:rPr>
          <w:rFonts w:ascii="Times New Roman" w:hAnsi="Times New Roman"/>
          <w:snapToGrid w:val="0"/>
          <w:color w:val="auto"/>
          <w:sz w:val="28"/>
          <w:szCs w:val="28"/>
        </w:rPr>
        <w:t xml:space="preserve">» </w:t>
      </w:r>
      <w:r w:rsidRPr="00D14534">
        <w:rPr>
          <w:rFonts w:ascii="Times New Roman" w:hAnsi="Times New Roman"/>
          <w:snapToGrid w:val="0"/>
          <w:color w:val="auto"/>
          <w:sz w:val="28"/>
          <w:szCs w:val="28"/>
        </w:rPr>
        <w:t xml:space="preserve"> состоялись в 6 школах города Тамбова и области.</w:t>
      </w:r>
    </w:p>
    <w:p w:rsidR="00D14534" w:rsidRDefault="00D14534" w:rsidP="00D14534">
      <w:pPr>
        <w:tabs>
          <w:tab w:val="left" w:pos="3740"/>
          <w:tab w:val="left" w:pos="43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>
        <w:rPr>
          <w:rFonts w:ascii="Times New Roman" w:hAnsi="Times New Roman"/>
          <w:snapToGrid w:val="0"/>
          <w:color w:val="auto"/>
          <w:sz w:val="28"/>
          <w:szCs w:val="28"/>
        </w:rPr>
        <w:t>Активность детей на уроках  и проявленный интерес к  изучению налоговой  грамотности подтверждают необходимость продолжения  реализации    среди подрастающего поколения будущих налогоплательщиков</w:t>
      </w:r>
      <w:r w:rsidRPr="00875CF6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 xml:space="preserve">региона </w:t>
      </w:r>
      <w:r w:rsidRPr="00875CF6">
        <w:rPr>
          <w:rFonts w:ascii="Times New Roman" w:hAnsi="Times New Roman"/>
          <w:snapToGrid w:val="0"/>
          <w:color w:val="auto"/>
          <w:sz w:val="28"/>
          <w:szCs w:val="28"/>
        </w:rPr>
        <w:t>федерального проекта «</w:t>
      </w:r>
      <w:proofErr w:type="spellStart"/>
      <w:r w:rsidRPr="00875CF6">
        <w:rPr>
          <w:rFonts w:ascii="Times New Roman" w:hAnsi="Times New Roman"/>
          <w:snapToGrid w:val="0"/>
          <w:color w:val="auto"/>
          <w:sz w:val="28"/>
          <w:szCs w:val="28"/>
        </w:rPr>
        <w:t>юНГа</w:t>
      </w:r>
      <w:proofErr w:type="spellEnd"/>
      <w:r w:rsidRPr="00875CF6">
        <w:rPr>
          <w:rFonts w:ascii="Times New Roman" w:hAnsi="Times New Roman"/>
          <w:snapToGrid w:val="0"/>
          <w:color w:val="auto"/>
          <w:sz w:val="28"/>
          <w:szCs w:val="28"/>
        </w:rPr>
        <w:t>»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 xml:space="preserve">. </w:t>
      </w:r>
    </w:p>
    <w:p w:rsidR="00B74CA8" w:rsidRDefault="00B74CA8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>
        <w:rPr>
          <w:rFonts w:ascii="Times New Roman" w:hAnsi="Times New Roman"/>
          <w:snapToGrid w:val="0"/>
          <w:color w:val="auto"/>
          <w:sz w:val="28"/>
          <w:szCs w:val="28"/>
        </w:rPr>
        <w:t>Н</w:t>
      </w:r>
      <w:r w:rsidR="00F27C88">
        <w:rPr>
          <w:rFonts w:ascii="Times New Roman" w:hAnsi="Times New Roman"/>
          <w:snapToGrid w:val="0"/>
          <w:color w:val="auto"/>
          <w:sz w:val="28"/>
          <w:szCs w:val="28"/>
        </w:rPr>
        <w:t>а постоянной основе проводил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ся  анализ 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 xml:space="preserve">поступивших 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обращений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 xml:space="preserve"> от </w:t>
      </w:r>
      <w:r w:rsidR="00ED13AA"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граждан с  последующим  размещением обобщенной информации  в региональном сегменте сайта ФНС России. </w:t>
      </w:r>
    </w:p>
    <w:p w:rsidR="00CC2B36" w:rsidRPr="00ED13AA" w:rsidRDefault="00CC2B36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>
        <w:rPr>
          <w:rFonts w:ascii="Times New Roman" w:hAnsi="Times New Roman"/>
          <w:snapToGrid w:val="0"/>
          <w:color w:val="auto"/>
          <w:sz w:val="28"/>
          <w:szCs w:val="28"/>
        </w:rPr>
        <w:t>На состоявш</w:t>
      </w:r>
      <w:r w:rsidR="006670F1">
        <w:rPr>
          <w:rFonts w:ascii="Times New Roman" w:hAnsi="Times New Roman"/>
          <w:snapToGrid w:val="0"/>
          <w:color w:val="auto"/>
          <w:sz w:val="28"/>
          <w:szCs w:val="28"/>
        </w:rPr>
        <w:t xml:space="preserve">ихся 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>в отчетном периоде заседани</w:t>
      </w:r>
      <w:r w:rsidR="006670F1">
        <w:rPr>
          <w:rFonts w:ascii="Times New Roman" w:hAnsi="Times New Roman"/>
          <w:snapToGrid w:val="0"/>
          <w:color w:val="auto"/>
          <w:sz w:val="28"/>
          <w:szCs w:val="28"/>
        </w:rPr>
        <w:t>ях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 xml:space="preserve"> Общественного совета при Управлении проводился анализ достигнутых Управлением показателей </w:t>
      </w:r>
      <w:r w:rsidR="00D120FB">
        <w:rPr>
          <w:rFonts w:ascii="Times New Roman" w:hAnsi="Times New Roman"/>
          <w:snapToGrid w:val="0"/>
          <w:color w:val="auto"/>
          <w:sz w:val="28"/>
          <w:szCs w:val="28"/>
        </w:rPr>
        <w:t xml:space="preserve"> и 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>сравнени</w:t>
      </w:r>
      <w:r w:rsidR="00A1094D">
        <w:rPr>
          <w:rFonts w:ascii="Times New Roman" w:hAnsi="Times New Roman"/>
          <w:snapToGrid w:val="0"/>
          <w:color w:val="auto"/>
          <w:sz w:val="28"/>
          <w:szCs w:val="28"/>
        </w:rPr>
        <w:t>е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r w:rsidR="00123160">
        <w:rPr>
          <w:rFonts w:ascii="Times New Roman" w:hAnsi="Times New Roman"/>
          <w:snapToGrid w:val="0"/>
          <w:color w:val="auto"/>
          <w:sz w:val="28"/>
          <w:szCs w:val="28"/>
        </w:rPr>
        <w:t xml:space="preserve">их 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>с общероссийским</w:t>
      </w:r>
      <w:r w:rsidR="00A1094D">
        <w:rPr>
          <w:rFonts w:ascii="Times New Roman" w:hAnsi="Times New Roman"/>
          <w:snapToGrid w:val="0"/>
          <w:color w:val="auto"/>
          <w:sz w:val="28"/>
          <w:szCs w:val="28"/>
        </w:rPr>
        <w:t xml:space="preserve"> уровнем.</w:t>
      </w:r>
    </w:p>
    <w:p w:rsidR="00720399" w:rsidRPr="00ED13AA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lastRenderedPageBreak/>
        <w:t>В 202</w:t>
      </w:r>
      <w:r w:rsidR="00141B3D">
        <w:rPr>
          <w:rFonts w:ascii="Times New Roman" w:hAnsi="Times New Roman"/>
          <w:snapToGrid w:val="0"/>
          <w:color w:val="auto"/>
          <w:sz w:val="28"/>
          <w:szCs w:val="28"/>
        </w:rPr>
        <w:t>5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 году в </w:t>
      </w:r>
      <w:r w:rsidR="00D120FB">
        <w:rPr>
          <w:rFonts w:ascii="Times New Roman" w:hAnsi="Times New Roman"/>
          <w:snapToGrid w:val="0"/>
          <w:color w:val="auto"/>
          <w:sz w:val="28"/>
          <w:szCs w:val="28"/>
        </w:rPr>
        <w:t xml:space="preserve">региональном 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 xml:space="preserve">разделе сайта ФНС России «Статистика и аналитика» размещались статистические отчетные данные по основным направлениям деятельности </w:t>
      </w:r>
      <w:r w:rsidR="00A1094D">
        <w:rPr>
          <w:rFonts w:ascii="Times New Roman" w:hAnsi="Times New Roman"/>
          <w:snapToGrid w:val="0"/>
          <w:color w:val="auto"/>
          <w:sz w:val="28"/>
          <w:szCs w:val="28"/>
        </w:rPr>
        <w:t>Управления</w:t>
      </w:r>
      <w:r w:rsidRPr="00ED13AA">
        <w:rPr>
          <w:rFonts w:ascii="Times New Roman" w:hAnsi="Times New Roman"/>
          <w:snapToGrid w:val="0"/>
          <w:color w:val="auto"/>
          <w:sz w:val="28"/>
          <w:szCs w:val="28"/>
        </w:rPr>
        <w:t>.</w:t>
      </w:r>
    </w:p>
    <w:p w:rsidR="00F27C88" w:rsidRDefault="00F27C88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napToGrid w:val="0"/>
          <w:color w:val="auto"/>
          <w:sz w:val="28"/>
          <w:szCs w:val="28"/>
        </w:rPr>
      </w:pPr>
    </w:p>
    <w:p w:rsidR="00F27C88" w:rsidRDefault="00F27C88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napToGrid w:val="0"/>
          <w:color w:val="auto"/>
          <w:sz w:val="28"/>
          <w:szCs w:val="28"/>
        </w:rPr>
      </w:pPr>
    </w:p>
    <w:p w:rsidR="00720399" w:rsidRPr="00745DA9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napToGrid w:val="0"/>
          <w:color w:val="auto"/>
          <w:sz w:val="28"/>
          <w:szCs w:val="28"/>
        </w:rPr>
      </w:pPr>
      <w:r w:rsidRPr="00745DA9">
        <w:rPr>
          <w:rFonts w:ascii="Times New Roman" w:hAnsi="Times New Roman"/>
          <w:i/>
          <w:snapToGrid w:val="0"/>
          <w:color w:val="auto"/>
          <w:sz w:val="28"/>
          <w:szCs w:val="28"/>
        </w:rPr>
        <w:t>2. Отчет об итогах реализации инициативного проекта.</w:t>
      </w:r>
    </w:p>
    <w:p w:rsidR="00720399" w:rsidRDefault="00ED13AA" w:rsidP="00ED13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napToGrid w:val="0"/>
          <w:color w:val="auto"/>
          <w:sz w:val="28"/>
          <w:szCs w:val="28"/>
        </w:rPr>
      </w:pPr>
      <w:r w:rsidRPr="00745DA9">
        <w:rPr>
          <w:rFonts w:ascii="Times New Roman" w:hAnsi="Times New Roman"/>
          <w:i/>
          <w:snapToGrid w:val="0"/>
          <w:color w:val="auto"/>
          <w:sz w:val="28"/>
          <w:szCs w:val="28"/>
        </w:rPr>
        <w:t>2.1 Краткое описание сути, реализуемой в отчетном году инициативы, каким образом инициатива должна была способствовать повышению открытости.</w:t>
      </w:r>
    </w:p>
    <w:p w:rsidR="00D14534" w:rsidRDefault="00D14534" w:rsidP="00D14534">
      <w:pPr>
        <w:tabs>
          <w:tab w:val="left" w:pos="3740"/>
          <w:tab w:val="left" w:pos="43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>
        <w:rPr>
          <w:rFonts w:ascii="Times New Roman" w:hAnsi="Times New Roman"/>
          <w:snapToGrid w:val="0"/>
          <w:color w:val="auto"/>
          <w:sz w:val="28"/>
          <w:szCs w:val="28"/>
        </w:rPr>
        <w:t>В 2025 году продолжалась работа «Мобильного налогового офиса», в том числе в новом формате – по видеосвязи.</w:t>
      </w:r>
    </w:p>
    <w:p w:rsidR="00D14534" w:rsidRDefault="00D14534" w:rsidP="00D14534">
      <w:pPr>
        <w:tabs>
          <w:tab w:val="left" w:pos="3740"/>
          <w:tab w:val="left" w:pos="43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>
        <w:rPr>
          <w:rFonts w:ascii="Times New Roman" w:hAnsi="Times New Roman"/>
          <w:snapToGrid w:val="0"/>
          <w:color w:val="auto"/>
          <w:sz w:val="28"/>
          <w:szCs w:val="28"/>
        </w:rPr>
        <w:t>Дистанционное информирование посетителей МФЦ, проживающих на отдаленных территориях, обеспечивает им максимально комфортные условия для получения необходимой информации по вопросам налогообложения физических лиц в шаговой доступности.</w:t>
      </w:r>
    </w:p>
    <w:p w:rsidR="00D14534" w:rsidRDefault="00D14534" w:rsidP="00D14534">
      <w:pPr>
        <w:tabs>
          <w:tab w:val="left" w:pos="3740"/>
          <w:tab w:val="left" w:pos="43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>
        <w:rPr>
          <w:rFonts w:ascii="Times New Roman" w:hAnsi="Times New Roman"/>
          <w:snapToGrid w:val="0"/>
          <w:color w:val="auto"/>
          <w:sz w:val="28"/>
          <w:szCs w:val="28"/>
        </w:rPr>
        <w:t xml:space="preserve">В период дистанционного информирования выстраивается конструктивный диалог с налогоплательщиками на максимально ранних стадиях возникновения у них вопросов, повышается эффективность обратной связи для создания среды доверия и </w:t>
      </w:r>
      <w:proofErr w:type="spellStart"/>
      <w:r>
        <w:rPr>
          <w:rFonts w:ascii="Times New Roman" w:hAnsi="Times New Roman"/>
          <w:snapToGrid w:val="0"/>
          <w:color w:val="auto"/>
          <w:sz w:val="28"/>
          <w:szCs w:val="28"/>
        </w:rPr>
        <w:t>человекоцентричности</w:t>
      </w:r>
      <w:proofErr w:type="spellEnd"/>
      <w:r>
        <w:rPr>
          <w:rFonts w:ascii="Times New Roman" w:hAnsi="Times New Roman"/>
          <w:snapToGrid w:val="0"/>
          <w:color w:val="auto"/>
          <w:sz w:val="28"/>
          <w:szCs w:val="28"/>
        </w:rPr>
        <w:t>.</w:t>
      </w:r>
    </w:p>
    <w:p w:rsidR="00720399" w:rsidRPr="00745DA9" w:rsidRDefault="00ED13AA" w:rsidP="008C7D6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napToGrid w:val="0"/>
          <w:color w:val="auto"/>
          <w:sz w:val="28"/>
          <w:szCs w:val="28"/>
        </w:rPr>
      </w:pPr>
      <w:r w:rsidRPr="00745DA9">
        <w:rPr>
          <w:rFonts w:ascii="Times New Roman" w:hAnsi="Times New Roman"/>
          <w:i/>
          <w:snapToGrid w:val="0"/>
          <w:color w:val="auto"/>
          <w:sz w:val="28"/>
          <w:szCs w:val="28"/>
        </w:rPr>
        <w:t>2.2.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:rsidR="00B16D38" w:rsidRPr="003E7F66" w:rsidRDefault="008C7D66" w:rsidP="003E7F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1B3D">
        <w:rPr>
          <w:rFonts w:ascii="Times New Roman" w:hAnsi="Times New Roman"/>
          <w:snapToGrid w:val="0"/>
          <w:color w:val="FF0000"/>
          <w:sz w:val="28"/>
          <w:szCs w:val="28"/>
        </w:rPr>
        <w:t xml:space="preserve">        </w:t>
      </w:r>
      <w:r w:rsidR="00B16D38" w:rsidRPr="003E7F66">
        <w:rPr>
          <w:rFonts w:ascii="Times New Roman" w:hAnsi="Times New Roman"/>
          <w:sz w:val="28"/>
          <w:szCs w:val="28"/>
        </w:rPr>
        <w:t>В соответствии с графиком работы выездного «Мобильного налогового офиса» в 2025 году проведено 37 выездных приемов на площадках МФЦ, на которых принято 1311 налогоплательщиков и проведен 231 сеанс дистанционной связи и обслужено 2439 заявителей.</w:t>
      </w:r>
    </w:p>
    <w:p w:rsidR="00B16D38" w:rsidRPr="00587713" w:rsidRDefault="00F27C88" w:rsidP="00F27C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16D38" w:rsidRPr="00D14534">
        <w:rPr>
          <w:rFonts w:ascii="Times New Roman" w:hAnsi="Times New Roman"/>
          <w:sz w:val="28"/>
          <w:szCs w:val="28"/>
        </w:rPr>
        <w:t>Основные направления работы выездного и дистанционного «Мобильного налоговог</w:t>
      </w:r>
      <w:r w:rsidR="00587713">
        <w:rPr>
          <w:rFonts w:ascii="Times New Roman" w:hAnsi="Times New Roman"/>
          <w:sz w:val="28"/>
          <w:szCs w:val="28"/>
        </w:rPr>
        <w:t xml:space="preserve">о офиса» Управления в 2025 году касались вопросов </w:t>
      </w:r>
      <w:r w:rsidR="00B16D38" w:rsidRPr="00587713">
        <w:rPr>
          <w:rFonts w:ascii="Times New Roman" w:hAnsi="Times New Roman"/>
          <w:sz w:val="28"/>
          <w:szCs w:val="28"/>
        </w:rPr>
        <w:t>представ</w:t>
      </w:r>
      <w:r w:rsidR="00587713">
        <w:rPr>
          <w:rFonts w:ascii="Times New Roman" w:hAnsi="Times New Roman"/>
          <w:sz w:val="28"/>
          <w:szCs w:val="28"/>
        </w:rPr>
        <w:t>ления</w:t>
      </w:r>
      <w:r w:rsidR="00B16D38" w:rsidRPr="00587713">
        <w:rPr>
          <w:rFonts w:ascii="Times New Roman" w:hAnsi="Times New Roman"/>
          <w:sz w:val="28"/>
          <w:szCs w:val="28"/>
        </w:rPr>
        <w:t xml:space="preserve"> налоговой декларации по налогу на доходы физических лиц (форма 3-НДФЛ)</w:t>
      </w:r>
      <w:r w:rsidR="00587713">
        <w:rPr>
          <w:rFonts w:ascii="Times New Roman" w:hAnsi="Times New Roman"/>
          <w:sz w:val="28"/>
          <w:szCs w:val="28"/>
        </w:rPr>
        <w:t xml:space="preserve">; </w:t>
      </w:r>
      <w:r w:rsidR="00B16D38" w:rsidRPr="00587713">
        <w:rPr>
          <w:rFonts w:ascii="Times New Roman" w:hAnsi="Times New Roman"/>
          <w:sz w:val="28"/>
          <w:szCs w:val="28"/>
        </w:rPr>
        <w:t xml:space="preserve"> </w:t>
      </w:r>
      <w:r w:rsidR="00587713">
        <w:rPr>
          <w:rFonts w:ascii="Times New Roman" w:hAnsi="Times New Roman"/>
          <w:sz w:val="28"/>
          <w:szCs w:val="28"/>
        </w:rPr>
        <w:t>предоставления</w:t>
      </w:r>
      <w:r w:rsidR="00B16D38" w:rsidRPr="00587713">
        <w:rPr>
          <w:rFonts w:ascii="Times New Roman" w:hAnsi="Times New Roman"/>
          <w:sz w:val="28"/>
          <w:szCs w:val="28"/>
        </w:rPr>
        <w:t xml:space="preserve"> налоговых льгот по земельному налогу, транспортному налогу и налогу на имущество физических лиц, в том числе мобилизованным лицам и членам их семей;</w:t>
      </w:r>
      <w:r w:rsidR="00587713">
        <w:rPr>
          <w:rFonts w:ascii="Times New Roman" w:hAnsi="Times New Roman"/>
          <w:sz w:val="28"/>
          <w:szCs w:val="28"/>
        </w:rPr>
        <w:t xml:space="preserve"> уплаты</w:t>
      </w:r>
      <w:r w:rsidR="00B16D38" w:rsidRPr="00587713">
        <w:rPr>
          <w:rFonts w:ascii="Times New Roman" w:hAnsi="Times New Roman"/>
          <w:sz w:val="28"/>
          <w:szCs w:val="28"/>
        </w:rPr>
        <w:t xml:space="preserve"> единого налогового платежа в бюджетную систему Российской Федерации;</w:t>
      </w:r>
      <w:r w:rsidR="00587713">
        <w:rPr>
          <w:rFonts w:ascii="Times New Roman" w:hAnsi="Times New Roman"/>
          <w:sz w:val="28"/>
          <w:szCs w:val="28"/>
        </w:rPr>
        <w:t xml:space="preserve"> </w:t>
      </w:r>
      <w:r w:rsidR="00B16D38" w:rsidRPr="00587713">
        <w:rPr>
          <w:rFonts w:ascii="Times New Roman" w:hAnsi="Times New Roman"/>
          <w:sz w:val="28"/>
          <w:szCs w:val="28"/>
        </w:rPr>
        <w:t>порядок исчисления имущественных налогов физических лиц за 2024 год и формирование налогового уведомления;</w:t>
      </w:r>
      <w:r w:rsidR="00587713">
        <w:rPr>
          <w:rFonts w:ascii="Times New Roman" w:hAnsi="Times New Roman"/>
          <w:sz w:val="28"/>
          <w:szCs w:val="28"/>
        </w:rPr>
        <w:t xml:space="preserve"> использования</w:t>
      </w:r>
      <w:r w:rsidR="00B16D38" w:rsidRPr="00587713">
        <w:rPr>
          <w:rFonts w:ascii="Times New Roman" w:hAnsi="Times New Roman"/>
          <w:sz w:val="28"/>
          <w:szCs w:val="28"/>
        </w:rPr>
        <w:t xml:space="preserve"> Интернет-сервисов ФНС России;</w:t>
      </w:r>
      <w:r w:rsidR="00587713">
        <w:rPr>
          <w:rFonts w:ascii="Times New Roman" w:hAnsi="Times New Roman"/>
          <w:sz w:val="28"/>
          <w:szCs w:val="28"/>
        </w:rPr>
        <w:t xml:space="preserve"> урегулирования</w:t>
      </w:r>
      <w:r w:rsidR="00B16D38" w:rsidRPr="00587713">
        <w:rPr>
          <w:rFonts w:ascii="Times New Roman" w:hAnsi="Times New Roman"/>
          <w:sz w:val="28"/>
          <w:szCs w:val="28"/>
        </w:rPr>
        <w:t xml:space="preserve"> вопросов об уплате задолженности на основании требований или решений о взыскании задолженности за счет денежных средств на </w:t>
      </w:r>
      <w:r w:rsidR="00587713">
        <w:rPr>
          <w:rFonts w:ascii="Times New Roman" w:hAnsi="Times New Roman"/>
          <w:sz w:val="28"/>
          <w:szCs w:val="28"/>
        </w:rPr>
        <w:t>счетах налогоплательщика, выдачи</w:t>
      </w:r>
      <w:r w:rsidR="00B16D38" w:rsidRPr="00587713">
        <w:rPr>
          <w:rFonts w:ascii="Times New Roman" w:hAnsi="Times New Roman"/>
          <w:sz w:val="28"/>
          <w:szCs w:val="28"/>
        </w:rPr>
        <w:t xml:space="preserve"> реквизитов по единому налоговому счету.</w:t>
      </w:r>
    </w:p>
    <w:p w:rsidR="00B16D38" w:rsidRPr="00D14534" w:rsidRDefault="00B16D38" w:rsidP="003E7F66">
      <w:pPr>
        <w:tabs>
          <w:tab w:val="left" w:pos="468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4534">
        <w:rPr>
          <w:rFonts w:ascii="Times New Roman" w:hAnsi="Times New Roman"/>
          <w:sz w:val="28"/>
          <w:szCs w:val="28"/>
        </w:rPr>
        <w:lastRenderedPageBreak/>
        <w:t>Работа выездных «Мобильных налоговых офисов» в отчетном периоде была направлена на использование Интернет - сервисов ФНС России и оказание методологической/практической п</w:t>
      </w:r>
      <w:r w:rsidR="00D14534" w:rsidRPr="00D14534">
        <w:rPr>
          <w:rFonts w:ascii="Times New Roman" w:hAnsi="Times New Roman"/>
          <w:sz w:val="28"/>
          <w:szCs w:val="28"/>
        </w:rPr>
        <w:t>омощи в их использовании.</w:t>
      </w:r>
    </w:p>
    <w:p w:rsidR="00B16D38" w:rsidRPr="00D14534" w:rsidRDefault="00B16D38" w:rsidP="003E7F6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14534">
        <w:rPr>
          <w:rFonts w:ascii="Times New Roman" w:hAnsi="Times New Roman"/>
          <w:sz w:val="28"/>
          <w:szCs w:val="28"/>
        </w:rPr>
        <w:t>В ходе проведения сеансов видеосвязи в 2025 году рассматривались вопросы исчисления и уплаты имущественных налогов физических лиц, о способах получения налоговых уведомлений по имущественным налогам физических лиц за 2024 год, о порядке предоставления налоговых льгот по имущественным налогам физических лиц, в том числе участникам СВО и членам их семей, предоставления налоговых вычетов по налогу на доходы физических лиц, об использовании Интернет-сервисов ФНС России.</w:t>
      </w:r>
    </w:p>
    <w:p w:rsidR="00B16D38" w:rsidRDefault="00B16D38" w:rsidP="003E7F6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14534">
        <w:rPr>
          <w:rFonts w:ascii="Times New Roman" w:hAnsi="Times New Roman"/>
          <w:sz w:val="28"/>
          <w:szCs w:val="28"/>
        </w:rPr>
        <w:t>Данный формат взаимодействия позволил сотруднику Управления при информировании посетителей МФЦ использовать программное обеспечение АИС «Налог-3», проинформировать о наличии (отсутствии) задолженности, сформировать документ об оплате, с дальнейшим направлением по адресу электронной почты по e-</w:t>
      </w:r>
      <w:proofErr w:type="spellStart"/>
      <w:r w:rsidRPr="00D14534">
        <w:rPr>
          <w:rFonts w:ascii="Times New Roman" w:hAnsi="Times New Roman"/>
          <w:sz w:val="28"/>
          <w:szCs w:val="28"/>
        </w:rPr>
        <w:t>mail</w:t>
      </w:r>
      <w:proofErr w:type="spellEnd"/>
      <w:r w:rsidRPr="00D14534">
        <w:rPr>
          <w:rFonts w:ascii="Times New Roman" w:hAnsi="Times New Roman"/>
          <w:sz w:val="28"/>
          <w:szCs w:val="28"/>
        </w:rPr>
        <w:t xml:space="preserve"> администратору МФЦ (с учетом статьи 102 Налогового кодекса Российской Федерации).</w:t>
      </w:r>
    </w:p>
    <w:p w:rsidR="002540C0" w:rsidRPr="00081691" w:rsidRDefault="002540C0" w:rsidP="002540C0">
      <w:pPr>
        <w:tabs>
          <w:tab w:val="left" w:pos="3740"/>
          <w:tab w:val="left" w:pos="43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  <w:r>
        <w:rPr>
          <w:rFonts w:ascii="Times New Roman" w:hAnsi="Times New Roman"/>
          <w:snapToGrid w:val="0"/>
          <w:color w:val="auto"/>
          <w:sz w:val="28"/>
          <w:szCs w:val="28"/>
        </w:rPr>
        <w:t xml:space="preserve"> Данный способ предоставления государственных услуг способству</w:t>
      </w:r>
      <w:r w:rsidR="00CF16FA">
        <w:rPr>
          <w:rFonts w:ascii="Times New Roman" w:hAnsi="Times New Roman"/>
          <w:snapToGrid w:val="0"/>
          <w:color w:val="auto"/>
          <w:sz w:val="28"/>
          <w:szCs w:val="28"/>
        </w:rPr>
        <w:t>ют формированию</w:t>
      </w:r>
      <w:r w:rsidR="00F27C88">
        <w:rPr>
          <w:rFonts w:ascii="Times New Roman" w:hAnsi="Times New Roman"/>
          <w:snapToGrid w:val="0"/>
          <w:color w:val="auto"/>
          <w:sz w:val="28"/>
          <w:szCs w:val="28"/>
        </w:rPr>
        <w:t xml:space="preserve"> </w:t>
      </w:r>
      <w:r w:rsidR="004C41EE">
        <w:rPr>
          <w:rFonts w:ascii="Times New Roman" w:hAnsi="Times New Roman"/>
          <w:snapToGrid w:val="0"/>
          <w:color w:val="auto"/>
          <w:sz w:val="28"/>
          <w:szCs w:val="28"/>
        </w:rPr>
        <w:t xml:space="preserve"> среды </w:t>
      </w:r>
      <w:r w:rsidR="00CF16FA">
        <w:rPr>
          <w:rFonts w:ascii="Times New Roman" w:hAnsi="Times New Roman"/>
          <w:snapToGrid w:val="0"/>
          <w:color w:val="auto"/>
          <w:sz w:val="28"/>
          <w:szCs w:val="28"/>
        </w:rPr>
        <w:t xml:space="preserve">  </w:t>
      </w:r>
      <w:r w:rsidR="004C41EE">
        <w:rPr>
          <w:rFonts w:ascii="Times New Roman" w:hAnsi="Times New Roman"/>
          <w:snapToGrid w:val="0"/>
          <w:color w:val="auto"/>
          <w:sz w:val="28"/>
          <w:szCs w:val="28"/>
        </w:rPr>
        <w:t xml:space="preserve">открытости и доверия </w:t>
      </w:r>
      <w:r w:rsidR="0052473F">
        <w:rPr>
          <w:rFonts w:ascii="Times New Roman" w:hAnsi="Times New Roman"/>
          <w:snapToGrid w:val="0"/>
          <w:color w:val="auto"/>
          <w:sz w:val="28"/>
          <w:szCs w:val="28"/>
        </w:rPr>
        <w:t xml:space="preserve">у граждан к </w:t>
      </w:r>
      <w:r w:rsidR="00CF16FA">
        <w:rPr>
          <w:rFonts w:ascii="Times New Roman" w:hAnsi="Times New Roman"/>
          <w:snapToGrid w:val="0"/>
          <w:color w:val="auto"/>
          <w:sz w:val="28"/>
          <w:szCs w:val="28"/>
        </w:rPr>
        <w:t xml:space="preserve"> работе налоговых органов.</w:t>
      </w:r>
    </w:p>
    <w:p w:rsidR="002540C0" w:rsidRPr="00D14534" w:rsidRDefault="002540C0" w:rsidP="003E7F6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6D38" w:rsidRPr="002540C0" w:rsidRDefault="00B16D38" w:rsidP="00A82363">
      <w:pPr>
        <w:tabs>
          <w:tab w:val="left" w:pos="3740"/>
          <w:tab w:val="left" w:pos="43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napToGrid w:val="0"/>
          <w:color w:val="auto"/>
          <w:sz w:val="28"/>
          <w:szCs w:val="28"/>
        </w:rPr>
      </w:pPr>
    </w:p>
    <w:sectPr w:rsidR="00B16D38" w:rsidRPr="002540C0">
      <w:headerReference w:type="default" r:id="rId8"/>
      <w:footerReference w:type="default" r:id="rId9"/>
      <w:headerReference w:type="first" r:id="rId10"/>
      <w:pgSz w:w="11906" w:h="16838"/>
      <w:pgMar w:top="284" w:right="566" w:bottom="1134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15" w:rsidRDefault="00667F15">
      <w:pPr>
        <w:spacing w:after="0" w:line="240" w:lineRule="auto"/>
      </w:pPr>
      <w:r>
        <w:separator/>
      </w:r>
    </w:p>
  </w:endnote>
  <w:endnote w:type="continuationSeparator" w:id="0">
    <w:p w:rsidR="00667F15" w:rsidRDefault="0066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FreeSet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399" w:rsidRDefault="00720399">
    <w:pPr>
      <w:pStyle w:val="a9"/>
      <w:jc w:val="center"/>
    </w:pPr>
  </w:p>
  <w:p w:rsidR="00720399" w:rsidRDefault="007203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15" w:rsidRDefault="00667F15">
      <w:pPr>
        <w:spacing w:after="0" w:line="240" w:lineRule="auto"/>
      </w:pPr>
      <w:r>
        <w:separator/>
      </w:r>
    </w:p>
  </w:footnote>
  <w:footnote w:type="continuationSeparator" w:id="0">
    <w:p w:rsidR="00667F15" w:rsidRDefault="0066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399" w:rsidRDefault="00ED13A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E763D">
      <w:rPr>
        <w:noProof/>
      </w:rPr>
      <w:t>4</w:t>
    </w:r>
    <w:r>
      <w:fldChar w:fldCharType="end"/>
    </w:r>
  </w:p>
  <w:p w:rsidR="00720399" w:rsidRDefault="00720399">
    <w:pPr>
      <w:pStyle w:val="ab"/>
      <w:jc w:val="center"/>
    </w:pPr>
  </w:p>
  <w:p w:rsidR="00720399" w:rsidRDefault="007203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399" w:rsidRDefault="00720399">
    <w:pPr>
      <w:pStyle w:val="ab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F70"/>
    <w:multiLevelType w:val="hybridMultilevel"/>
    <w:tmpl w:val="9342D5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931526"/>
    <w:multiLevelType w:val="hybridMultilevel"/>
    <w:tmpl w:val="2A684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BA6609"/>
    <w:multiLevelType w:val="hybridMultilevel"/>
    <w:tmpl w:val="49B067C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E45E9F"/>
    <w:multiLevelType w:val="hybridMultilevel"/>
    <w:tmpl w:val="D952D9D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702177F6"/>
    <w:multiLevelType w:val="hybridMultilevel"/>
    <w:tmpl w:val="D56E5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99"/>
    <w:rsid w:val="00081691"/>
    <w:rsid w:val="000963F5"/>
    <w:rsid w:val="000A20F1"/>
    <w:rsid w:val="000A4010"/>
    <w:rsid w:val="000B428E"/>
    <w:rsid w:val="000F2D7A"/>
    <w:rsid w:val="00123160"/>
    <w:rsid w:val="00141B3D"/>
    <w:rsid w:val="001824DD"/>
    <w:rsid w:val="001825A7"/>
    <w:rsid w:val="001A6D24"/>
    <w:rsid w:val="001F652F"/>
    <w:rsid w:val="002027FE"/>
    <w:rsid w:val="00215DC2"/>
    <w:rsid w:val="002355B6"/>
    <w:rsid w:val="002540C0"/>
    <w:rsid w:val="002779F7"/>
    <w:rsid w:val="00280275"/>
    <w:rsid w:val="0029567B"/>
    <w:rsid w:val="002A3EB1"/>
    <w:rsid w:val="002E763D"/>
    <w:rsid w:val="002F564E"/>
    <w:rsid w:val="003245AA"/>
    <w:rsid w:val="00330C3A"/>
    <w:rsid w:val="00346DC1"/>
    <w:rsid w:val="003C0519"/>
    <w:rsid w:val="003D68D2"/>
    <w:rsid w:val="003E7F66"/>
    <w:rsid w:val="004047BA"/>
    <w:rsid w:val="00473E24"/>
    <w:rsid w:val="004B41A4"/>
    <w:rsid w:val="004C41EE"/>
    <w:rsid w:val="00500EDA"/>
    <w:rsid w:val="0052473F"/>
    <w:rsid w:val="005336AA"/>
    <w:rsid w:val="00551225"/>
    <w:rsid w:val="00553AB5"/>
    <w:rsid w:val="00587713"/>
    <w:rsid w:val="005C6700"/>
    <w:rsid w:val="00647785"/>
    <w:rsid w:val="006670F1"/>
    <w:rsid w:val="00667F15"/>
    <w:rsid w:val="006B57F6"/>
    <w:rsid w:val="006C3E28"/>
    <w:rsid w:val="006F1C1D"/>
    <w:rsid w:val="00707EAD"/>
    <w:rsid w:val="00720399"/>
    <w:rsid w:val="0072546F"/>
    <w:rsid w:val="00745DA9"/>
    <w:rsid w:val="00753589"/>
    <w:rsid w:val="00777816"/>
    <w:rsid w:val="00781BC4"/>
    <w:rsid w:val="007C1C7C"/>
    <w:rsid w:val="007F2962"/>
    <w:rsid w:val="00804525"/>
    <w:rsid w:val="00805651"/>
    <w:rsid w:val="008272D9"/>
    <w:rsid w:val="00870DEA"/>
    <w:rsid w:val="00875CF6"/>
    <w:rsid w:val="00885377"/>
    <w:rsid w:val="008C7D66"/>
    <w:rsid w:val="008E050B"/>
    <w:rsid w:val="008F7154"/>
    <w:rsid w:val="00901817"/>
    <w:rsid w:val="00904AFB"/>
    <w:rsid w:val="00940D9D"/>
    <w:rsid w:val="00961C32"/>
    <w:rsid w:val="0099338C"/>
    <w:rsid w:val="009A2E5E"/>
    <w:rsid w:val="009B0D06"/>
    <w:rsid w:val="009B5809"/>
    <w:rsid w:val="00A1094D"/>
    <w:rsid w:val="00A33B64"/>
    <w:rsid w:val="00A82363"/>
    <w:rsid w:val="00A8456F"/>
    <w:rsid w:val="00AB5B31"/>
    <w:rsid w:val="00B16D38"/>
    <w:rsid w:val="00B2743F"/>
    <w:rsid w:val="00B74CA8"/>
    <w:rsid w:val="00BA7570"/>
    <w:rsid w:val="00BB0E03"/>
    <w:rsid w:val="00BB51AF"/>
    <w:rsid w:val="00BC42F1"/>
    <w:rsid w:val="00BF2409"/>
    <w:rsid w:val="00C365DD"/>
    <w:rsid w:val="00C425A1"/>
    <w:rsid w:val="00C874FD"/>
    <w:rsid w:val="00CB5A0B"/>
    <w:rsid w:val="00CC2B36"/>
    <w:rsid w:val="00CC331A"/>
    <w:rsid w:val="00CC6FE6"/>
    <w:rsid w:val="00CD4E14"/>
    <w:rsid w:val="00CF16FA"/>
    <w:rsid w:val="00D04045"/>
    <w:rsid w:val="00D120FB"/>
    <w:rsid w:val="00D14534"/>
    <w:rsid w:val="00D32D64"/>
    <w:rsid w:val="00D350F7"/>
    <w:rsid w:val="00D91A84"/>
    <w:rsid w:val="00DD6F6F"/>
    <w:rsid w:val="00E50430"/>
    <w:rsid w:val="00ED13AA"/>
    <w:rsid w:val="00ED4646"/>
    <w:rsid w:val="00F27C88"/>
    <w:rsid w:val="00F85739"/>
    <w:rsid w:val="00F90DEA"/>
    <w:rsid w:val="00FA4711"/>
    <w:rsid w:val="00FB53E2"/>
    <w:rsid w:val="00FD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Знак Знак"/>
    <w:basedOn w:val="a"/>
    <w:link w:val="a5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a5">
    <w:name w:val="Знак Знак"/>
    <w:basedOn w:val="1"/>
    <w:link w:val="a4"/>
    <w:rPr>
      <w:rFonts w:ascii="Times New Roman" w:hAnsi="Times New Roman"/>
      <w:sz w:val="28"/>
    </w:rPr>
  </w:style>
  <w:style w:type="paragraph" w:customStyle="1" w:styleId="14">
    <w:name w:val="Знак1"/>
    <w:basedOn w:val="a"/>
    <w:link w:val="15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15">
    <w:name w:val="Знак1"/>
    <w:basedOn w:val="1"/>
    <w:link w:val="14"/>
    <w:rPr>
      <w:rFonts w:ascii="Times New Roman" w:hAnsi="Times New Roman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примечания1"/>
    <w:basedOn w:val="12"/>
    <w:link w:val="a6"/>
    <w:rPr>
      <w:sz w:val="16"/>
    </w:rPr>
  </w:style>
  <w:style w:type="character" w:styleId="a6">
    <w:name w:val="annotation reference"/>
    <w:basedOn w:val="a0"/>
    <w:link w:val="16"/>
    <w:rPr>
      <w:sz w:val="16"/>
    </w:rPr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7">
    <w:name w:val="Абзац списка1"/>
    <w:basedOn w:val="a"/>
    <w:link w:val="18"/>
    <w:pPr>
      <w:spacing w:after="160" w:line="264" w:lineRule="auto"/>
      <w:ind w:left="720"/>
      <w:contextualSpacing/>
    </w:pPr>
    <w:rPr>
      <w:rFonts w:ascii="Calibri" w:hAnsi="Calibri"/>
    </w:rPr>
  </w:style>
  <w:style w:type="character" w:customStyle="1" w:styleId="18">
    <w:name w:val="Абзац списка1"/>
    <w:basedOn w:val="1"/>
    <w:link w:val="17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9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rFonts w:ascii="Times New Roman" w:hAnsi="Times New Roman"/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annotation subject"/>
    <w:basedOn w:val="a7"/>
    <w:next w:val="a7"/>
    <w:link w:val="af"/>
    <w:rPr>
      <w:b/>
    </w:rPr>
  </w:style>
  <w:style w:type="character" w:customStyle="1" w:styleId="af">
    <w:name w:val="Тема примечания Знак"/>
    <w:basedOn w:val="a8"/>
    <w:link w:val="ae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lock Text"/>
    <w:basedOn w:val="a"/>
    <w:link w:val="af1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hAnsi="FreeSetC"/>
      <w:sz w:val="24"/>
    </w:rPr>
  </w:style>
  <w:style w:type="character" w:customStyle="1" w:styleId="af1">
    <w:name w:val="Цитата Знак"/>
    <w:basedOn w:val="1"/>
    <w:link w:val="af0"/>
    <w:rPr>
      <w:rFonts w:ascii="FreeSetC" w:hAnsi="FreeSetC"/>
      <w:sz w:val="24"/>
    </w:rPr>
  </w:style>
  <w:style w:type="paragraph" w:styleId="af2">
    <w:name w:val="List Paragraph"/>
    <w:basedOn w:val="a"/>
    <w:link w:val="af3"/>
    <w:uiPriority w:val="34"/>
    <w:qFormat/>
    <w:pPr>
      <w:spacing w:after="160" w:line="264" w:lineRule="auto"/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1c">
    <w:name w:val="Основной текст1"/>
    <w:basedOn w:val="a"/>
    <w:link w:val="1d"/>
    <w:pPr>
      <w:spacing w:after="1320" w:line="312" w:lineRule="exact"/>
      <w:jc w:val="center"/>
    </w:pPr>
    <w:rPr>
      <w:rFonts w:ascii="Times New Roman" w:hAnsi="Times New Roman"/>
      <w:sz w:val="27"/>
    </w:rPr>
  </w:style>
  <w:style w:type="character" w:customStyle="1" w:styleId="1d">
    <w:name w:val="Основной текст1"/>
    <w:basedOn w:val="1"/>
    <w:link w:val="1c"/>
    <w:rPr>
      <w:rFonts w:ascii="Times New Roman" w:hAnsi="Times New Roman"/>
      <w:sz w:val="27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a">
    <w:link w:val="afb"/>
    <w:semiHidden/>
    <w:unhideWhenUsed/>
    <w:pPr>
      <w:spacing w:after="0" w:line="240" w:lineRule="auto"/>
    </w:pPr>
  </w:style>
  <w:style w:type="character" w:customStyle="1" w:styleId="afb">
    <w:link w:val="afa"/>
    <w:semiHidden/>
    <w:unhideWhenUsed/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B16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Знак Знак"/>
    <w:basedOn w:val="a"/>
    <w:link w:val="a5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a5">
    <w:name w:val="Знак Знак"/>
    <w:basedOn w:val="1"/>
    <w:link w:val="a4"/>
    <w:rPr>
      <w:rFonts w:ascii="Times New Roman" w:hAnsi="Times New Roman"/>
      <w:sz w:val="28"/>
    </w:rPr>
  </w:style>
  <w:style w:type="paragraph" w:customStyle="1" w:styleId="14">
    <w:name w:val="Знак1"/>
    <w:basedOn w:val="a"/>
    <w:link w:val="15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15">
    <w:name w:val="Знак1"/>
    <w:basedOn w:val="1"/>
    <w:link w:val="14"/>
    <w:rPr>
      <w:rFonts w:ascii="Times New Roman" w:hAnsi="Times New Roman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примечания1"/>
    <w:basedOn w:val="12"/>
    <w:link w:val="a6"/>
    <w:rPr>
      <w:sz w:val="16"/>
    </w:rPr>
  </w:style>
  <w:style w:type="character" w:styleId="a6">
    <w:name w:val="annotation reference"/>
    <w:basedOn w:val="a0"/>
    <w:link w:val="16"/>
    <w:rPr>
      <w:sz w:val="16"/>
    </w:rPr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7">
    <w:name w:val="Абзац списка1"/>
    <w:basedOn w:val="a"/>
    <w:link w:val="18"/>
    <w:pPr>
      <w:spacing w:after="160" w:line="264" w:lineRule="auto"/>
      <w:ind w:left="720"/>
      <w:contextualSpacing/>
    </w:pPr>
    <w:rPr>
      <w:rFonts w:ascii="Calibri" w:hAnsi="Calibri"/>
    </w:rPr>
  </w:style>
  <w:style w:type="character" w:customStyle="1" w:styleId="18">
    <w:name w:val="Абзац списка1"/>
    <w:basedOn w:val="1"/>
    <w:link w:val="17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9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rFonts w:ascii="Times New Roman" w:hAnsi="Times New Roman"/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annotation subject"/>
    <w:basedOn w:val="a7"/>
    <w:next w:val="a7"/>
    <w:link w:val="af"/>
    <w:rPr>
      <w:b/>
    </w:rPr>
  </w:style>
  <w:style w:type="character" w:customStyle="1" w:styleId="af">
    <w:name w:val="Тема примечания Знак"/>
    <w:basedOn w:val="a8"/>
    <w:link w:val="ae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lock Text"/>
    <w:basedOn w:val="a"/>
    <w:link w:val="af1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hAnsi="FreeSetC"/>
      <w:sz w:val="24"/>
    </w:rPr>
  </w:style>
  <w:style w:type="character" w:customStyle="1" w:styleId="af1">
    <w:name w:val="Цитата Знак"/>
    <w:basedOn w:val="1"/>
    <w:link w:val="af0"/>
    <w:rPr>
      <w:rFonts w:ascii="FreeSetC" w:hAnsi="FreeSetC"/>
      <w:sz w:val="24"/>
    </w:rPr>
  </w:style>
  <w:style w:type="paragraph" w:styleId="af2">
    <w:name w:val="List Paragraph"/>
    <w:basedOn w:val="a"/>
    <w:link w:val="af3"/>
    <w:uiPriority w:val="34"/>
    <w:qFormat/>
    <w:pPr>
      <w:spacing w:after="160" w:line="264" w:lineRule="auto"/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1c">
    <w:name w:val="Основной текст1"/>
    <w:basedOn w:val="a"/>
    <w:link w:val="1d"/>
    <w:pPr>
      <w:spacing w:after="1320" w:line="312" w:lineRule="exact"/>
      <w:jc w:val="center"/>
    </w:pPr>
    <w:rPr>
      <w:rFonts w:ascii="Times New Roman" w:hAnsi="Times New Roman"/>
      <w:sz w:val="27"/>
    </w:rPr>
  </w:style>
  <w:style w:type="character" w:customStyle="1" w:styleId="1d">
    <w:name w:val="Основной текст1"/>
    <w:basedOn w:val="1"/>
    <w:link w:val="1c"/>
    <w:rPr>
      <w:rFonts w:ascii="Times New Roman" w:hAnsi="Times New Roman"/>
      <w:sz w:val="27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a">
    <w:link w:val="afb"/>
    <w:semiHidden/>
    <w:unhideWhenUsed/>
    <w:pPr>
      <w:spacing w:after="0" w:line="240" w:lineRule="auto"/>
    </w:pPr>
  </w:style>
  <w:style w:type="character" w:customStyle="1" w:styleId="afb">
    <w:link w:val="afa"/>
    <w:semiHidden/>
    <w:unhideWhenUsed/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B16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Наталия Львовна</dc:creator>
  <cp:lastModifiedBy>Неплюева Мария Владимировна</cp:lastModifiedBy>
  <cp:revision>2</cp:revision>
  <cp:lastPrinted>2026-01-20T06:22:00Z</cp:lastPrinted>
  <dcterms:created xsi:type="dcterms:W3CDTF">2026-01-26T10:20:00Z</dcterms:created>
  <dcterms:modified xsi:type="dcterms:W3CDTF">2026-01-26T10:20:00Z</dcterms:modified>
</cp:coreProperties>
</file>